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>Информационно-статистический обзор</w:t>
      </w:r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обращений граждан, направленных в </w:t>
      </w:r>
      <w:proofErr w:type="spellStart"/>
      <w:r w:rsidR="00B16852" w:rsidRPr="00E362FD">
        <w:rPr>
          <w:rFonts w:ascii="Arial" w:hAnsi="Arial" w:cs="Arial"/>
          <w:b/>
        </w:rPr>
        <w:t>Новосибирск</w:t>
      </w:r>
      <w:r w:rsidR="00CB0DCD" w:rsidRPr="00E362FD">
        <w:rPr>
          <w:rFonts w:ascii="Arial" w:hAnsi="Arial" w:cs="Arial"/>
          <w:b/>
        </w:rPr>
        <w:t>стат</w:t>
      </w:r>
      <w:proofErr w:type="spellEnd"/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>в</w:t>
      </w:r>
      <w:r w:rsidR="006F0048">
        <w:rPr>
          <w:rFonts w:ascii="Arial" w:hAnsi="Arial" w:cs="Arial"/>
          <w:b/>
        </w:rPr>
        <w:t>о</w:t>
      </w:r>
      <w:r w:rsidRPr="00E362FD">
        <w:rPr>
          <w:rFonts w:ascii="Arial" w:hAnsi="Arial" w:cs="Arial"/>
          <w:b/>
        </w:rPr>
        <w:t xml:space="preserve"> </w:t>
      </w:r>
      <w:r w:rsidRPr="00E362FD">
        <w:rPr>
          <w:rFonts w:ascii="Arial" w:hAnsi="Arial" w:cs="Arial"/>
          <w:b/>
          <w:lang w:val="en-US"/>
        </w:rPr>
        <w:t>I</w:t>
      </w:r>
      <w:r w:rsidR="00FC415E" w:rsidRPr="00E362FD">
        <w:rPr>
          <w:rFonts w:ascii="Arial" w:hAnsi="Arial" w:cs="Arial"/>
          <w:b/>
          <w:lang w:val="en-US"/>
        </w:rPr>
        <w:t>I</w:t>
      </w:r>
      <w:r w:rsidRPr="00E362FD">
        <w:rPr>
          <w:rFonts w:ascii="Arial" w:hAnsi="Arial" w:cs="Arial"/>
          <w:b/>
        </w:rPr>
        <w:t xml:space="preserve"> квартале 202</w:t>
      </w:r>
      <w:r w:rsidR="00B16852" w:rsidRPr="00E362FD">
        <w:rPr>
          <w:rFonts w:ascii="Arial" w:hAnsi="Arial" w:cs="Arial"/>
          <w:b/>
        </w:rPr>
        <w:t>2</w:t>
      </w:r>
      <w:r w:rsidRPr="00E362FD">
        <w:rPr>
          <w:rFonts w:ascii="Arial" w:hAnsi="Arial" w:cs="Arial"/>
          <w:b/>
        </w:rPr>
        <w:t xml:space="preserve"> года</w:t>
      </w:r>
    </w:p>
    <w:p w:rsidR="00CB0DCD" w:rsidRPr="00152DC3" w:rsidRDefault="00CB0DCD" w:rsidP="00CB0DCD">
      <w:pPr>
        <w:ind w:firstLine="0"/>
        <w:jc w:val="center"/>
        <w:rPr>
          <w:rFonts w:ascii="Arial" w:hAnsi="Arial" w:cs="Arial"/>
        </w:rPr>
      </w:pPr>
    </w:p>
    <w:p w:rsidR="00CB0DCD" w:rsidRPr="00E362FD" w:rsidRDefault="00943A7D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16852" w:rsidRPr="00E362FD">
        <w:rPr>
          <w:rFonts w:ascii="Arial" w:hAnsi="Arial" w:cs="Arial"/>
          <w:sz w:val="26"/>
          <w:szCs w:val="26"/>
        </w:rPr>
        <w:t>Новосибирскстат</w:t>
      </w:r>
      <w:proofErr w:type="spellEnd"/>
      <w:r w:rsidR="00B16852" w:rsidRPr="00E362FD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</w:rPr>
        <w:t xml:space="preserve"> в</w:t>
      </w:r>
      <w:r w:rsidR="00F03702">
        <w:rPr>
          <w:rFonts w:ascii="Arial" w:hAnsi="Arial" w:cs="Arial"/>
          <w:sz w:val="26"/>
          <w:szCs w:val="26"/>
        </w:rPr>
        <w:t>о</w:t>
      </w:r>
      <w:r w:rsidR="000C3D41" w:rsidRPr="00E362FD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  <w:lang w:val="en-US"/>
        </w:rPr>
        <w:t>I</w:t>
      </w:r>
      <w:r w:rsidR="00FC415E">
        <w:rPr>
          <w:rFonts w:ascii="Arial" w:hAnsi="Arial" w:cs="Arial"/>
          <w:sz w:val="26"/>
          <w:szCs w:val="26"/>
          <w:lang w:val="en-US"/>
        </w:rPr>
        <w:t>I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="000C3D41" w:rsidRPr="00E362FD">
        <w:rPr>
          <w:rFonts w:ascii="Arial" w:hAnsi="Arial" w:cs="Arial"/>
          <w:sz w:val="26"/>
          <w:szCs w:val="26"/>
        </w:rPr>
        <w:t xml:space="preserve"> года поступило 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="00FC415E" w:rsidRPr="00FC415E">
        <w:rPr>
          <w:rFonts w:ascii="Arial" w:hAnsi="Arial" w:cs="Arial"/>
          <w:sz w:val="26"/>
          <w:szCs w:val="26"/>
        </w:rPr>
        <w:t>4</w:t>
      </w:r>
      <w:r w:rsidR="000C3D41" w:rsidRPr="00E362FD">
        <w:rPr>
          <w:rFonts w:ascii="Arial" w:hAnsi="Arial" w:cs="Arial"/>
          <w:sz w:val="26"/>
          <w:szCs w:val="26"/>
        </w:rPr>
        <w:t xml:space="preserve"> обращени</w:t>
      </w:r>
      <w:r w:rsidR="00FC415E">
        <w:rPr>
          <w:rFonts w:ascii="Arial" w:hAnsi="Arial" w:cs="Arial"/>
          <w:sz w:val="26"/>
          <w:szCs w:val="26"/>
        </w:rPr>
        <w:t>я</w:t>
      </w:r>
      <w:r w:rsidR="000C3D41" w:rsidRPr="00E362FD">
        <w:rPr>
          <w:rFonts w:ascii="Arial" w:hAnsi="Arial" w:cs="Arial"/>
          <w:sz w:val="26"/>
          <w:szCs w:val="26"/>
        </w:rPr>
        <w:t xml:space="preserve"> граждан (далее – обращение), что на </w:t>
      </w:r>
      <w:r w:rsidR="00FC415E">
        <w:rPr>
          <w:rFonts w:ascii="Arial" w:hAnsi="Arial" w:cs="Arial"/>
          <w:sz w:val="26"/>
          <w:szCs w:val="26"/>
        </w:rPr>
        <w:t>4,3</w:t>
      </w:r>
      <w:r w:rsidR="000C3D41" w:rsidRPr="00E362FD">
        <w:rPr>
          <w:rFonts w:ascii="Arial" w:hAnsi="Arial" w:cs="Arial"/>
          <w:sz w:val="26"/>
          <w:szCs w:val="26"/>
        </w:rPr>
        <w:t xml:space="preserve"> % больше, чем в</w:t>
      </w:r>
      <w:r w:rsidR="00FC415E">
        <w:rPr>
          <w:rFonts w:ascii="Arial" w:hAnsi="Arial" w:cs="Arial"/>
          <w:sz w:val="26"/>
          <w:szCs w:val="26"/>
        </w:rPr>
        <w:t>о</w:t>
      </w:r>
      <w:r w:rsidR="000C3D41" w:rsidRPr="00E362FD">
        <w:rPr>
          <w:rFonts w:ascii="Arial" w:hAnsi="Arial" w:cs="Arial"/>
          <w:sz w:val="26"/>
          <w:szCs w:val="26"/>
        </w:rPr>
        <w:t xml:space="preserve"> </w:t>
      </w:r>
      <w:r w:rsidR="00FC415E">
        <w:rPr>
          <w:rFonts w:ascii="Arial" w:hAnsi="Arial" w:cs="Arial"/>
          <w:sz w:val="26"/>
          <w:szCs w:val="26"/>
          <w:lang w:val="en-US"/>
        </w:rPr>
        <w:t>I</w:t>
      </w:r>
      <w:r w:rsidR="000C3D41" w:rsidRPr="00E362FD">
        <w:rPr>
          <w:rFonts w:ascii="Arial" w:hAnsi="Arial" w:cs="Arial"/>
          <w:sz w:val="26"/>
          <w:szCs w:val="26"/>
          <w:lang w:val="en-US"/>
        </w:rPr>
        <w:t>I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1</w:t>
      </w:r>
      <w:r w:rsidR="000C3D41" w:rsidRPr="00E362FD">
        <w:rPr>
          <w:rFonts w:ascii="Arial" w:hAnsi="Arial" w:cs="Arial"/>
          <w:sz w:val="26"/>
          <w:szCs w:val="26"/>
        </w:rPr>
        <w:t xml:space="preserve"> года. 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По месяцам </w:t>
      </w:r>
      <w:r w:rsidRPr="00E362FD">
        <w:rPr>
          <w:rFonts w:ascii="Arial" w:hAnsi="Arial" w:cs="Arial"/>
          <w:sz w:val="26"/>
          <w:szCs w:val="26"/>
          <w:lang w:val="en-US"/>
        </w:rPr>
        <w:t>I</w:t>
      </w:r>
      <w:r w:rsidR="00FC415E">
        <w:rPr>
          <w:rFonts w:ascii="Arial" w:hAnsi="Arial" w:cs="Arial"/>
          <w:sz w:val="26"/>
          <w:szCs w:val="26"/>
          <w:lang w:val="en-US"/>
        </w:rPr>
        <w:t>I</w:t>
      </w:r>
      <w:r w:rsidRPr="00E362FD">
        <w:rPr>
          <w:rFonts w:ascii="Arial" w:hAnsi="Arial" w:cs="Arial"/>
          <w:sz w:val="26"/>
          <w:szCs w:val="26"/>
        </w:rPr>
        <w:t xml:space="preserve"> квартала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Pr="00E362FD">
        <w:rPr>
          <w:rFonts w:ascii="Arial" w:hAnsi="Arial" w:cs="Arial"/>
          <w:sz w:val="26"/>
          <w:szCs w:val="26"/>
        </w:rPr>
        <w:t xml:space="preserve"> года поступило: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r w:rsidR="00FC415E">
        <w:rPr>
          <w:rFonts w:ascii="Arial" w:hAnsi="Arial" w:cs="Arial"/>
          <w:sz w:val="26"/>
          <w:szCs w:val="26"/>
        </w:rPr>
        <w:t>апреле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B16852" w:rsidRPr="00E362FD">
        <w:rPr>
          <w:rFonts w:ascii="Arial" w:hAnsi="Arial" w:cs="Arial"/>
          <w:sz w:val="26"/>
          <w:szCs w:val="26"/>
        </w:rPr>
        <w:t>8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FC415E">
        <w:rPr>
          <w:rFonts w:ascii="Arial" w:hAnsi="Arial" w:cs="Arial"/>
          <w:sz w:val="26"/>
          <w:szCs w:val="26"/>
        </w:rPr>
        <w:t>33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FC415E">
        <w:rPr>
          <w:rFonts w:ascii="Arial" w:hAnsi="Arial" w:cs="Arial"/>
          <w:sz w:val="26"/>
          <w:szCs w:val="26"/>
        </w:rPr>
        <w:t>ма</w:t>
      </w:r>
      <w:r w:rsidR="00B16852" w:rsidRPr="00E362FD">
        <w:rPr>
          <w:rFonts w:ascii="Arial" w:hAnsi="Arial" w:cs="Arial"/>
          <w:sz w:val="26"/>
          <w:szCs w:val="26"/>
        </w:rPr>
        <w:t>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FC415E">
        <w:rPr>
          <w:rFonts w:ascii="Arial" w:hAnsi="Arial" w:cs="Arial"/>
          <w:sz w:val="26"/>
          <w:szCs w:val="26"/>
        </w:rPr>
        <w:t xml:space="preserve">11 </w:t>
      </w:r>
      <w:r w:rsidRPr="00E362FD">
        <w:rPr>
          <w:rFonts w:ascii="Arial" w:hAnsi="Arial" w:cs="Arial"/>
          <w:sz w:val="26"/>
          <w:szCs w:val="26"/>
        </w:rPr>
        <w:t>(</w:t>
      </w:r>
      <w:r w:rsidR="00FC415E">
        <w:rPr>
          <w:rFonts w:ascii="Arial" w:hAnsi="Arial" w:cs="Arial"/>
          <w:sz w:val="26"/>
          <w:szCs w:val="26"/>
        </w:rPr>
        <w:t>46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FC415E">
        <w:rPr>
          <w:rFonts w:ascii="Arial" w:hAnsi="Arial" w:cs="Arial"/>
          <w:sz w:val="26"/>
          <w:szCs w:val="26"/>
        </w:rPr>
        <w:t>июн</w:t>
      </w:r>
      <w:r w:rsidRPr="00E362FD">
        <w:rPr>
          <w:rFonts w:ascii="Arial" w:hAnsi="Arial" w:cs="Arial"/>
          <w:sz w:val="26"/>
          <w:szCs w:val="26"/>
        </w:rPr>
        <w:t xml:space="preserve">е – </w:t>
      </w:r>
      <w:r w:rsidR="00FC415E">
        <w:rPr>
          <w:rFonts w:ascii="Arial" w:hAnsi="Arial" w:cs="Arial"/>
          <w:sz w:val="26"/>
          <w:szCs w:val="26"/>
        </w:rPr>
        <w:t>5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FC415E">
        <w:rPr>
          <w:rFonts w:ascii="Arial" w:hAnsi="Arial" w:cs="Arial"/>
          <w:sz w:val="26"/>
          <w:szCs w:val="26"/>
        </w:rPr>
        <w:t>21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4607D9" w:rsidRPr="00586B34" w:rsidRDefault="004607D9" w:rsidP="00CB0DCD"/>
    <w:p w:rsidR="00CB0DCD" w:rsidRDefault="000C3D41" w:rsidP="00CB0DCD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B0DCD" w:rsidRDefault="00CB0DCD" w:rsidP="00CB0DCD">
      <w:pPr>
        <w:rPr>
          <w:rFonts w:ascii="Arial" w:hAnsi="Arial" w:cs="Arial"/>
        </w:rPr>
      </w:pPr>
    </w:p>
    <w:p w:rsidR="00B16852" w:rsidRPr="00152DC3" w:rsidRDefault="00B16852" w:rsidP="00CB0DCD">
      <w:pPr>
        <w:tabs>
          <w:tab w:val="left" w:pos="1418"/>
        </w:tabs>
        <w:ind w:firstLine="567"/>
        <w:rPr>
          <w:rFonts w:ascii="Arial" w:hAnsi="Arial" w:cs="Arial"/>
        </w:rPr>
      </w:pPr>
      <w:r w:rsidRPr="00152DC3">
        <w:rPr>
          <w:rFonts w:ascii="Arial" w:hAnsi="Arial" w:cs="Arial"/>
        </w:rPr>
        <w:t xml:space="preserve">   </w:t>
      </w:r>
    </w:p>
    <w:p w:rsidR="00CB0DCD" w:rsidRPr="00B16852" w:rsidRDefault="00CB0DCD" w:rsidP="00CB0DCD">
      <w:pPr>
        <w:spacing w:line="276" w:lineRule="auto"/>
      </w:pPr>
    </w:p>
    <w:p w:rsidR="00CB0DCD" w:rsidRDefault="000C3D41" w:rsidP="00CB0DCD">
      <w:pPr>
        <w:ind w:firstLine="0"/>
        <w:jc w:val="center"/>
      </w:pPr>
      <w:r w:rsidRPr="000A55A3">
        <w:rPr>
          <w:noProof/>
        </w:rPr>
        <w:drawing>
          <wp:inline distT="0" distB="0" distL="0" distR="0">
            <wp:extent cx="5329881" cy="29326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62FD" w:rsidRDefault="00E362FD" w:rsidP="00CB0DCD">
      <w:pPr>
        <w:ind w:firstLine="0"/>
        <w:jc w:val="center"/>
      </w:pPr>
    </w:p>
    <w:p w:rsidR="00E362FD" w:rsidRDefault="00E362FD" w:rsidP="00CB0DCD">
      <w:pPr>
        <w:ind w:firstLine="0"/>
        <w:jc w:val="center"/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P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Количество поступивших обращений по типу обращения: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заявления – </w:t>
      </w:r>
      <w:r w:rsidR="00FC415E">
        <w:rPr>
          <w:rFonts w:ascii="Arial" w:hAnsi="Arial" w:cs="Arial"/>
          <w:sz w:val="26"/>
          <w:szCs w:val="26"/>
        </w:rPr>
        <w:t>4</w:t>
      </w:r>
      <w:r w:rsidRPr="00E362FD">
        <w:rPr>
          <w:rFonts w:ascii="Arial" w:hAnsi="Arial" w:cs="Arial"/>
          <w:sz w:val="26"/>
          <w:szCs w:val="26"/>
        </w:rPr>
        <w:t xml:space="preserve"> (17 %)</w:t>
      </w:r>
      <w:r w:rsidRPr="00E362FD">
        <w:rPr>
          <w:rStyle w:val="a7"/>
          <w:rFonts w:ascii="Arial" w:hAnsi="Arial" w:cs="Arial"/>
          <w:sz w:val="26"/>
          <w:szCs w:val="26"/>
        </w:rPr>
        <w:footnoteReference w:id="2"/>
      </w:r>
      <w:r w:rsidRPr="00E362FD">
        <w:rPr>
          <w:rFonts w:ascii="Arial" w:hAnsi="Arial" w:cs="Arial"/>
          <w:sz w:val="26"/>
          <w:szCs w:val="26"/>
        </w:rPr>
        <w:t>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жалобы – 0;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  запросы  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 – 2</w:t>
      </w:r>
      <w:r w:rsidR="00FC415E">
        <w:rPr>
          <w:rFonts w:ascii="Arial" w:hAnsi="Arial" w:cs="Arial"/>
          <w:sz w:val="26"/>
          <w:szCs w:val="26"/>
        </w:rPr>
        <w:t>0</w:t>
      </w:r>
      <w:r w:rsidRPr="00E362FD">
        <w:rPr>
          <w:rFonts w:ascii="Arial" w:hAnsi="Arial" w:cs="Arial"/>
          <w:sz w:val="26"/>
          <w:szCs w:val="26"/>
        </w:rPr>
        <w:t> (83 %).</w:t>
      </w:r>
    </w:p>
    <w:p w:rsidR="00E362FD" w:rsidRDefault="00E362FD" w:rsidP="00CB0DCD">
      <w:pPr>
        <w:ind w:firstLine="0"/>
        <w:jc w:val="center"/>
      </w:pPr>
    </w:p>
    <w:p w:rsidR="00CB0DCD" w:rsidRDefault="000C3D41" w:rsidP="00CB0DCD">
      <w:pPr>
        <w:jc w:val="center"/>
        <w:rPr>
          <w:lang w:val="en-US"/>
        </w:rPr>
      </w:pPr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0DCD" w:rsidRDefault="00815742" w:rsidP="00E362F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Новосибир</w:t>
      </w:r>
      <w:r w:rsidR="000C3D41" w:rsidRPr="009B313C">
        <w:rPr>
          <w:rFonts w:ascii="Arial" w:hAnsi="Arial" w:cs="Arial"/>
        </w:rPr>
        <w:t>скстатом</w:t>
      </w:r>
      <w:proofErr w:type="spellEnd"/>
      <w:r w:rsidR="000C3D41" w:rsidRPr="009B313C">
        <w:rPr>
          <w:rFonts w:ascii="Arial" w:hAnsi="Arial" w:cs="Arial"/>
        </w:rPr>
        <w:t xml:space="preserve"> в</w:t>
      </w:r>
      <w:r w:rsidR="00F03702">
        <w:rPr>
          <w:rFonts w:ascii="Arial" w:hAnsi="Arial" w:cs="Arial"/>
        </w:rPr>
        <w:t>о</w:t>
      </w:r>
      <w:r w:rsidR="000C3D41" w:rsidRPr="009B313C">
        <w:rPr>
          <w:rFonts w:ascii="Arial" w:hAnsi="Arial" w:cs="Arial"/>
        </w:rPr>
        <w:t xml:space="preserve"> </w:t>
      </w:r>
      <w:r w:rsidR="000C3D41">
        <w:rPr>
          <w:rFonts w:ascii="Arial" w:hAnsi="Arial" w:cs="Arial"/>
          <w:lang w:val="en-US"/>
        </w:rPr>
        <w:t>I</w:t>
      </w:r>
      <w:r w:rsidR="00277101">
        <w:rPr>
          <w:rFonts w:ascii="Arial" w:hAnsi="Arial" w:cs="Arial"/>
          <w:lang w:val="en-US"/>
        </w:rPr>
        <w:t>I</w:t>
      </w:r>
      <w:r w:rsidR="000C3D41" w:rsidRPr="009B313C">
        <w:rPr>
          <w:rFonts w:ascii="Arial" w:hAnsi="Arial" w:cs="Arial"/>
        </w:rPr>
        <w:t xml:space="preserve"> квартале 202</w:t>
      </w:r>
      <w:r w:rsidR="00B1685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рассмотрено </w:t>
      </w:r>
      <w:r>
        <w:rPr>
          <w:rFonts w:ascii="Arial" w:hAnsi="Arial" w:cs="Arial"/>
        </w:rPr>
        <w:t>2</w:t>
      </w:r>
      <w:r w:rsidR="00277101" w:rsidRPr="00277101">
        <w:rPr>
          <w:rFonts w:ascii="Arial" w:hAnsi="Arial" w:cs="Arial"/>
        </w:rPr>
        <w:t>4</w:t>
      </w:r>
      <w:r w:rsidR="000C3D41">
        <w:rPr>
          <w:rFonts w:ascii="Arial" w:hAnsi="Arial" w:cs="Arial"/>
        </w:rPr>
        <w:t> </w:t>
      </w:r>
      <w:r w:rsidR="000C3D41" w:rsidRPr="009B313C">
        <w:rPr>
          <w:rFonts w:ascii="Arial" w:hAnsi="Arial" w:cs="Arial"/>
        </w:rPr>
        <w:t>обращени</w:t>
      </w:r>
      <w:r w:rsidR="00277101">
        <w:rPr>
          <w:rFonts w:ascii="Arial" w:hAnsi="Arial" w:cs="Arial"/>
        </w:rPr>
        <w:t>я</w:t>
      </w:r>
      <w:r w:rsidR="000C3D41" w:rsidRPr="009B313C">
        <w:rPr>
          <w:rFonts w:ascii="Arial" w:hAnsi="Arial" w:cs="Arial"/>
        </w:rPr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E362FD" w:rsidRDefault="00E362FD" w:rsidP="00E362FD">
      <w:pPr>
        <w:spacing w:line="276" w:lineRule="auto"/>
        <w:rPr>
          <w:rFonts w:ascii="Arial" w:hAnsi="Arial" w:cs="Arial"/>
        </w:rPr>
      </w:pPr>
    </w:p>
    <w:p w:rsidR="00447700" w:rsidRDefault="00E362FD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Гражданам направлены ответы</w:t>
      </w:r>
      <w:r w:rsidR="00447700">
        <w:rPr>
          <w:rFonts w:ascii="Arial" w:hAnsi="Arial" w:cs="Arial"/>
        </w:rPr>
        <w:t xml:space="preserve"> по результатам рассмотрения обращений</w:t>
      </w:r>
      <w:proofErr w:type="gramStart"/>
      <w:r w:rsidR="00447700">
        <w:rPr>
          <w:rFonts w:ascii="Arial" w:hAnsi="Arial" w:cs="Arial"/>
        </w:rPr>
        <w:t xml:space="preserve"> :</w:t>
      </w:r>
      <w:proofErr w:type="gramEnd"/>
      <w:r w:rsidR="00447700">
        <w:rPr>
          <w:rFonts w:ascii="Arial" w:hAnsi="Arial" w:cs="Arial"/>
        </w:rPr>
        <w:t xml:space="preserve"> </w:t>
      </w:r>
    </w:p>
    <w:p w:rsidR="00447700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р</w:t>
      </w:r>
      <w:r>
        <w:rPr>
          <w:rFonts w:ascii="Arial" w:hAnsi="Arial" w:cs="Arial"/>
        </w:rPr>
        <w:t>азъяснено» - 1</w:t>
      </w:r>
      <w:r w:rsidR="00277101">
        <w:rPr>
          <w:rFonts w:ascii="Arial" w:hAnsi="Arial" w:cs="Arial"/>
        </w:rPr>
        <w:t>7</w:t>
      </w:r>
      <w:r w:rsidR="00E362FD">
        <w:rPr>
          <w:rFonts w:ascii="Arial" w:hAnsi="Arial" w:cs="Arial"/>
        </w:rPr>
        <w:t xml:space="preserve"> (</w:t>
      </w:r>
      <w:r w:rsidR="00277101">
        <w:rPr>
          <w:rFonts w:ascii="Arial" w:hAnsi="Arial" w:cs="Arial"/>
        </w:rPr>
        <w:t>71</w:t>
      </w:r>
      <w:r w:rsidR="00E362FD">
        <w:rPr>
          <w:rFonts w:ascii="Arial" w:hAnsi="Arial" w:cs="Arial"/>
        </w:rPr>
        <w:t>%)</w:t>
      </w:r>
      <w:r>
        <w:rPr>
          <w:rFonts w:ascii="Arial" w:hAnsi="Arial" w:cs="Arial"/>
        </w:rPr>
        <w:t>;</w:t>
      </w:r>
    </w:p>
    <w:p w:rsidR="00E362FD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оддержано» - </w:t>
      </w:r>
      <w:r w:rsidR="00277101">
        <w:rPr>
          <w:rFonts w:ascii="Arial" w:hAnsi="Arial" w:cs="Arial"/>
        </w:rPr>
        <w:t>7</w:t>
      </w:r>
      <w:r w:rsidR="00E362FD">
        <w:rPr>
          <w:rFonts w:ascii="Arial" w:hAnsi="Arial" w:cs="Arial"/>
        </w:rPr>
        <w:t xml:space="preserve"> (</w:t>
      </w:r>
      <w:r w:rsidR="00277101">
        <w:rPr>
          <w:rFonts w:ascii="Arial" w:hAnsi="Arial" w:cs="Arial"/>
        </w:rPr>
        <w:t>29</w:t>
      </w:r>
      <w:r w:rsidR="00E362FD">
        <w:rPr>
          <w:rFonts w:ascii="Arial" w:hAnsi="Arial" w:cs="Arial"/>
        </w:rPr>
        <w:t>%)</w:t>
      </w:r>
      <w:r>
        <w:rPr>
          <w:rFonts w:ascii="Arial" w:hAnsi="Arial" w:cs="Arial"/>
        </w:rPr>
        <w:t>.</w:t>
      </w:r>
    </w:p>
    <w:p w:rsidR="00CB0DCD" w:rsidRDefault="00CB0DCD" w:rsidP="00E362FD">
      <w:pPr>
        <w:spacing w:line="276" w:lineRule="auto"/>
        <w:jc w:val="left"/>
        <w:rPr>
          <w:rFonts w:ascii="Arial" w:hAnsi="Arial" w:cs="Arial"/>
        </w:rPr>
      </w:pPr>
    </w:p>
    <w:p w:rsidR="00CB0DCD" w:rsidRDefault="00277101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15742">
        <w:rPr>
          <w:rFonts w:ascii="Arial" w:hAnsi="Arial" w:cs="Arial"/>
        </w:rPr>
        <w:t>ри л</w:t>
      </w:r>
      <w:r w:rsidR="000C3D41" w:rsidRPr="009B313C">
        <w:rPr>
          <w:rFonts w:ascii="Arial" w:hAnsi="Arial" w:cs="Arial"/>
        </w:rPr>
        <w:t>ичн</w:t>
      </w:r>
      <w:r w:rsidR="00815742">
        <w:rPr>
          <w:rFonts w:ascii="Arial" w:hAnsi="Arial" w:cs="Arial"/>
        </w:rPr>
        <w:t>ом</w:t>
      </w:r>
      <w:r w:rsidR="000C3D41" w:rsidRPr="009B313C">
        <w:rPr>
          <w:rFonts w:ascii="Arial" w:hAnsi="Arial" w:cs="Arial"/>
        </w:rPr>
        <w:t xml:space="preserve"> прием</w:t>
      </w:r>
      <w:r w:rsidR="00815742">
        <w:rPr>
          <w:rFonts w:ascii="Arial" w:hAnsi="Arial" w:cs="Arial"/>
        </w:rPr>
        <w:t>е</w:t>
      </w:r>
      <w:r w:rsidR="000C3D41" w:rsidRPr="009B313C">
        <w:rPr>
          <w:rFonts w:ascii="Arial" w:hAnsi="Arial" w:cs="Arial"/>
        </w:rPr>
        <w:t xml:space="preserve"> руководством </w:t>
      </w:r>
      <w:proofErr w:type="spellStart"/>
      <w:r w:rsidR="00815742">
        <w:rPr>
          <w:rFonts w:ascii="Arial" w:hAnsi="Arial" w:cs="Arial"/>
        </w:rPr>
        <w:t>Новосибирс</w:t>
      </w:r>
      <w:r w:rsidR="000C3D41" w:rsidRPr="009B313C">
        <w:rPr>
          <w:rFonts w:ascii="Arial" w:hAnsi="Arial" w:cs="Arial"/>
        </w:rPr>
        <w:t>кстата</w:t>
      </w:r>
      <w:proofErr w:type="spellEnd"/>
      <w:r w:rsidR="000C3D41" w:rsidRPr="009B313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о</w:t>
      </w:r>
      <w:r w:rsidR="000C3D41" w:rsidRPr="009B313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="000C3D41">
        <w:rPr>
          <w:rFonts w:ascii="Arial" w:hAnsi="Arial" w:cs="Arial"/>
          <w:lang w:val="en-US"/>
        </w:rPr>
        <w:t>I</w:t>
      </w:r>
      <w:r w:rsidR="000C3D41" w:rsidRPr="009B313C">
        <w:rPr>
          <w:rFonts w:ascii="Arial" w:hAnsi="Arial" w:cs="Arial"/>
        </w:rPr>
        <w:t xml:space="preserve"> квартале 202</w:t>
      </w:r>
      <w:r w:rsidR="0081574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</w:t>
      </w:r>
      <w:r w:rsidR="00815742">
        <w:rPr>
          <w:rFonts w:ascii="Arial" w:hAnsi="Arial" w:cs="Arial"/>
        </w:rPr>
        <w:t>поступало</w:t>
      </w:r>
      <w:r>
        <w:rPr>
          <w:rFonts w:ascii="Arial" w:hAnsi="Arial" w:cs="Arial"/>
        </w:rPr>
        <w:t xml:space="preserve"> 4 обращения граждан</w:t>
      </w:r>
      <w:r w:rsidR="00815742">
        <w:rPr>
          <w:rFonts w:ascii="Arial" w:hAnsi="Arial" w:cs="Arial"/>
        </w:rPr>
        <w:t>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447700" w:rsidRDefault="00152DC3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Обращений на действие или бездействие должностных лиц </w:t>
      </w:r>
      <w:proofErr w:type="spellStart"/>
      <w:r>
        <w:rPr>
          <w:rFonts w:ascii="Arial" w:hAnsi="Arial" w:cs="Arial"/>
        </w:rPr>
        <w:t>Новосибирскстата</w:t>
      </w:r>
      <w:proofErr w:type="spellEnd"/>
      <w:r>
        <w:rPr>
          <w:rFonts w:ascii="Arial" w:hAnsi="Arial" w:cs="Arial"/>
        </w:rPr>
        <w:t>, повлекшее нарушение прав, свобод и законных интересов граждан в</w:t>
      </w:r>
      <w:r w:rsidR="001727B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1727B0"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года не </w:t>
      </w:r>
      <w:r>
        <w:rPr>
          <w:rFonts w:ascii="Arial" w:hAnsi="Arial" w:cs="Arial"/>
        </w:rPr>
        <w:t>поступало.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152DC3" w:rsidRDefault="00F03702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Повторно направленных ответов во </w:t>
      </w:r>
      <w:r w:rsidR="00152DC3">
        <w:rPr>
          <w:rFonts w:ascii="Arial" w:hAnsi="Arial" w:cs="Arial"/>
          <w:lang w:val="en-US"/>
        </w:rPr>
        <w:t>I</w:t>
      </w:r>
      <w:r w:rsidR="00277101">
        <w:rPr>
          <w:rFonts w:ascii="Arial" w:hAnsi="Arial" w:cs="Arial"/>
          <w:lang w:val="en-US"/>
        </w:rPr>
        <w:t>I</w:t>
      </w:r>
      <w:r w:rsidR="00152DC3" w:rsidRPr="009B313C">
        <w:rPr>
          <w:rFonts w:ascii="Arial" w:hAnsi="Arial" w:cs="Arial"/>
        </w:rPr>
        <w:t xml:space="preserve"> квартале 202</w:t>
      </w:r>
      <w:r w:rsidR="00152DC3">
        <w:rPr>
          <w:rFonts w:ascii="Arial" w:hAnsi="Arial" w:cs="Arial"/>
        </w:rPr>
        <w:t>2</w:t>
      </w:r>
      <w:r w:rsidR="00152DC3" w:rsidRPr="009B313C">
        <w:rPr>
          <w:rFonts w:ascii="Arial" w:hAnsi="Arial" w:cs="Arial"/>
        </w:rPr>
        <w:t xml:space="preserve"> года не </w:t>
      </w:r>
      <w:r w:rsidR="00A37668">
        <w:rPr>
          <w:rFonts w:ascii="Arial" w:hAnsi="Arial" w:cs="Arial"/>
        </w:rPr>
        <w:t>было</w:t>
      </w:r>
      <w:r w:rsidR="00152DC3">
        <w:rPr>
          <w:rFonts w:ascii="Arial" w:hAnsi="Arial" w:cs="Arial"/>
        </w:rPr>
        <w:t>.</w:t>
      </w:r>
    </w:p>
    <w:p w:rsidR="00447700" w:rsidRDefault="00447700" w:rsidP="00CB0DCD">
      <w:pPr>
        <w:widowControl w:val="0"/>
        <w:rPr>
          <w:rFonts w:ascii="Arial" w:hAnsi="Arial" w:cs="Arial"/>
        </w:rPr>
      </w:pPr>
    </w:p>
    <w:sectPr w:rsidR="00447700" w:rsidSect="00CB0DCD">
      <w:footnotePr>
        <w:numRestart w:val="eachPage"/>
      </w:footnotePr>
      <w:pgSz w:w="11906" w:h="16838"/>
      <w:pgMar w:top="851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94" w:rsidRDefault="00862094" w:rsidP="002714D5">
      <w:r>
        <w:separator/>
      </w:r>
    </w:p>
  </w:endnote>
  <w:endnote w:type="continuationSeparator" w:id="1">
    <w:p w:rsidR="00862094" w:rsidRDefault="00862094" w:rsidP="0027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94" w:rsidRDefault="00862094" w:rsidP="00CB0DCD">
      <w:r>
        <w:separator/>
      </w:r>
    </w:p>
  </w:footnote>
  <w:footnote w:type="continuationSeparator" w:id="1">
    <w:p w:rsidR="00862094" w:rsidRDefault="00862094" w:rsidP="00CB0DCD">
      <w:r>
        <w:continuationSeparator/>
      </w:r>
    </w:p>
  </w:footnote>
  <w:footnote w:id="2">
    <w:p w:rsidR="00E362FD" w:rsidRPr="00F95242" w:rsidRDefault="00E362FD" w:rsidP="00E362FD">
      <w:pPr>
        <w:pStyle w:val="a5"/>
        <w:rPr>
          <w:rFonts w:ascii="Arial" w:hAnsi="Arial" w:cs="Arial"/>
        </w:rPr>
      </w:pPr>
      <w:r w:rsidRPr="00F95242">
        <w:rPr>
          <w:rStyle w:val="a7"/>
          <w:rFonts w:ascii="Arial" w:hAnsi="Arial" w:cs="Arial"/>
        </w:rPr>
        <w:footnoteRef/>
      </w:r>
      <w:r w:rsidRPr="00F95242">
        <w:rPr>
          <w:rFonts w:ascii="Arial" w:hAnsi="Arial" w:cs="Arial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714D5"/>
    <w:rsid w:val="000C3D41"/>
    <w:rsid w:val="00122614"/>
    <w:rsid w:val="00152DC3"/>
    <w:rsid w:val="001727B0"/>
    <w:rsid w:val="00202A77"/>
    <w:rsid w:val="002714D5"/>
    <w:rsid w:val="00277101"/>
    <w:rsid w:val="00370025"/>
    <w:rsid w:val="00415E94"/>
    <w:rsid w:val="00447700"/>
    <w:rsid w:val="004607D9"/>
    <w:rsid w:val="006F0048"/>
    <w:rsid w:val="00724554"/>
    <w:rsid w:val="00815742"/>
    <w:rsid w:val="008333C7"/>
    <w:rsid w:val="00862094"/>
    <w:rsid w:val="00865EAA"/>
    <w:rsid w:val="00943A7D"/>
    <w:rsid w:val="00A37668"/>
    <w:rsid w:val="00B16852"/>
    <w:rsid w:val="00C44F2E"/>
    <w:rsid w:val="00CB0DCD"/>
    <w:rsid w:val="00D554EC"/>
    <w:rsid w:val="00DC1A70"/>
    <w:rsid w:val="00E362FD"/>
    <w:rsid w:val="00E71D6F"/>
    <w:rsid w:val="00F03702"/>
    <w:rsid w:val="00F95242"/>
    <w:rsid w:val="00FC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Новосибирскстат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526543053086551E-2"/>
          <c:y val="0.17047289504036936"/>
          <c:w val="0.7819249735051208"/>
          <c:h val="0.67161988670368356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529FD8"/>
            </a:solidFill>
            <a:effectLst/>
          </c:spPr>
          <c:dLbls>
            <c:dLbl>
              <c:idx val="0"/>
              <c:layout>
                <c:manualLayout>
                  <c:x val="4.2260746167048719E-3"/>
                  <c:y val="3.4127337291581681E-3"/>
                </c:manualLayout>
              </c:layout>
              <c:showVal val="1"/>
            </c:dLbl>
            <c:dLbl>
              <c:idx val="1"/>
              <c:layout>
                <c:manualLayout>
                  <c:x val="4.7272268193135434E-3"/>
                  <c:y val="1.6113001554099057E-6"/>
                </c:manualLayout>
              </c:layout>
              <c:showVal val="1"/>
            </c:dLbl>
            <c:dLbl>
              <c:idx val="2"/>
              <c:layout>
                <c:manualLayout>
                  <c:x val="2.8648455153589751E-3"/>
                  <c:y val="-3.4089740287955601E-3"/>
                </c:manualLayout>
              </c:layout>
              <c:showVal val="1"/>
            </c:dLbl>
            <c:dLbl>
              <c:idx val="3"/>
              <c:layout>
                <c:manualLayout>
                  <c:x val="8.7863811092806238E-3"/>
                  <c:y val="-1.705029838022166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 квартал 2021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86C06A"/>
            </a:solidFill>
            <a:effectLst/>
          </c:spPr>
          <c:dLbls>
            <c:dLbl>
              <c:idx val="0"/>
              <c:layout>
                <c:manualLayout>
                  <c:x val="1.5032968016389725E-3"/>
                  <c:y val="3.412196629106432E-3"/>
                </c:manualLayout>
              </c:layout>
              <c:showVal val="1"/>
            </c:dLbl>
            <c:dLbl>
              <c:idx val="1"/>
              <c:layout>
                <c:manualLayout>
                  <c:x val="2.6976882436980493E-3"/>
                  <c:y val="3.4121966291063652E-3"/>
                </c:manualLayout>
              </c:layout>
              <c:showVal val="1"/>
            </c:dLbl>
            <c:dLbl>
              <c:idx val="2"/>
              <c:layout>
                <c:manualLayout>
                  <c:x val="1.5034566078260308E-3"/>
                  <c:y val="-1.0230413236723367E-2"/>
                </c:manualLayout>
              </c:layout>
              <c:showVal val="1"/>
            </c:dLbl>
            <c:dLbl>
              <c:idx val="3"/>
              <c:layout>
                <c:manualLayout>
                  <c:x val="6.5897858319604813E-3"/>
                  <c:y val="-1.023017902813310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 квартал 2021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14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E3002A"/>
            </a:solidFill>
            <a:effectLst/>
          </c:spPr>
          <c:dLbls>
            <c:dLbl>
              <c:idx val="0"/>
              <c:layout>
                <c:manualLayout>
                  <c:x val="1.1694616768782842E-3"/>
                  <c:y val="3.4105853289509661E-3"/>
                </c:manualLayout>
              </c:layout>
              <c:showVal val="1"/>
            </c:dLbl>
            <c:dLbl>
              <c:idx val="1"/>
              <c:layout>
                <c:manualLayout>
                  <c:x val="-5.2608196778946626E-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362993361651023E-3"/>
                  <c:y val="6.8211706579019106E-3"/>
                </c:manualLayout>
              </c:layout>
              <c:showVal val="1"/>
            </c:dLbl>
            <c:dLbl>
              <c:idx val="3"/>
              <c:layout>
                <c:manualLayout>
                  <c:x val="1.098297638660083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 квартал 2021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100"/>
        <c:axId val="61282176"/>
        <c:axId val="61283712"/>
      </c:barChart>
      <c:catAx>
        <c:axId val="612821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1283712"/>
        <c:crosses val="autoZero"/>
        <c:auto val="1"/>
        <c:lblAlgn val="ctr"/>
        <c:lblOffset val="100"/>
      </c:catAx>
      <c:valAx>
        <c:axId val="612837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1282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04404025909373"/>
          <c:y val="0.9214596445340526"/>
          <c:w val="0.37267898701343344"/>
          <c:h val="7.8540328325018102E-2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Новосибирскстат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3358786311646208E-2"/>
          <c:y val="0.24495210624239414"/>
          <c:w val="0.69274154526151765"/>
          <c:h val="0.55638668271706238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solidFill>
              <a:srgbClr val="529FD8"/>
            </a:solidFill>
          </c:spPr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Val val="1"/>
            </c:dLbl>
            <c:dLbl>
              <c:idx val="1"/>
              <c:layout>
                <c:manualLayout>
                  <c:x val="4.7272268193135382E-3"/>
                  <c:y val="1.6113001554099055E-6"/>
                </c:manualLayout>
              </c:layout>
              <c:showVal val="1"/>
            </c:dLbl>
            <c:dLbl>
              <c:idx val="2"/>
              <c:layout>
                <c:manualLayout>
                  <c:x val="2.8648455153589751E-3"/>
                  <c:y val="-3.4089740287955605E-3"/>
                </c:manualLayout>
              </c:layout>
              <c:showVal val="1"/>
            </c:dLbl>
            <c:dLbl>
              <c:idx val="3"/>
              <c:layout>
                <c:manualLayout>
                  <c:x val="8.7863811092806238E-3"/>
                  <c:y val="-1.705029838022165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 квартал 2021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Сайт, электронная почта</c:v>
                </c:pt>
              </c:strCache>
            </c:strRef>
          </c:tx>
          <c:spPr>
            <a:solidFill>
              <a:srgbClr val="86C06A"/>
            </a:solidFill>
            <a:ln>
              <a:noFill/>
            </a:ln>
          </c:spPr>
          <c:dLbls>
            <c:dLbl>
              <c:idx val="0"/>
              <c:layout>
                <c:manualLayout>
                  <c:x val="1.5032968016389725E-3"/>
                  <c:y val="3.4121966291064281E-3"/>
                </c:manualLayout>
              </c:layout>
              <c:showVal val="1"/>
            </c:dLbl>
            <c:dLbl>
              <c:idx val="1"/>
              <c:layout>
                <c:manualLayout>
                  <c:x val="2.697688243698045E-3"/>
                  <c:y val="3.4121966291063652E-3"/>
                </c:manualLayout>
              </c:layout>
              <c:showVal val="1"/>
            </c:dLbl>
            <c:dLbl>
              <c:idx val="2"/>
              <c:layout>
                <c:manualLayout>
                  <c:x val="1.5034566078260289E-3"/>
                  <c:y val="3.4119280790804642E-3"/>
                </c:manualLayout>
              </c:layout>
              <c:showVal val="1"/>
            </c:dLbl>
            <c:dLbl>
              <c:idx val="3"/>
              <c:layout>
                <c:manualLayout>
                  <c:x val="6.5897858319604813E-3"/>
                  <c:y val="-1.023017902813309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 квартал 2021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13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solidFill>
              <a:srgbClr val="E3002A"/>
            </a:solidFill>
          </c:spPr>
          <c:dLbls>
            <c:dLbl>
              <c:idx val="0"/>
              <c:layout>
                <c:manualLayout>
                  <c:x val="1.1694616768782821E-3"/>
                  <c:y val="3.4105853289509644E-3"/>
                </c:manualLayout>
              </c:layout>
              <c:showVal val="1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362993361651003E-3"/>
                  <c:y val="6.8211706579019106E-3"/>
                </c:manualLayout>
              </c:layout>
              <c:showVal val="1"/>
            </c:dLbl>
            <c:dLbl>
              <c:idx val="3"/>
              <c:layout>
                <c:manualLayout>
                  <c:x val="1.09829763866008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 квартал 2021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overlap val="100"/>
        <c:axId val="62286464"/>
        <c:axId val="62296448"/>
      </c:barChart>
      <c:catAx>
        <c:axId val="62286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2296448"/>
        <c:crosses val="autoZero"/>
        <c:auto val="1"/>
        <c:lblAlgn val="ctr"/>
        <c:lblOffset val="100"/>
      </c:catAx>
      <c:valAx>
        <c:axId val="622964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2286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440239847756561E-2"/>
          <c:y val="0.91632127621119797"/>
          <c:w val="0.81319939413281461"/>
          <c:h val="7.2667991685045966E-2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45E-2"/>
        </c:manualLayout>
      </c:layout>
    </c:title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837"/>
          <c:h val="0.65826130329138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529FD8"/>
            </a:solidFill>
          </c:spPr>
          <c:dPt>
            <c:idx val="1"/>
            <c:spPr>
              <a:solidFill>
                <a:srgbClr val="86C06A"/>
              </a:solidFill>
            </c:spPr>
          </c:dPt>
          <c:dLbls>
            <c:dLbl>
              <c:idx val="0"/>
              <c:layout>
                <c:manualLayout>
                  <c:x val="0.11175207395170712"/>
                  <c:y val="1.2583806912079621E-3"/>
                </c:manualLayout>
              </c:layout>
              <c:showPercent val="1"/>
            </c:dLbl>
            <c:dLbl>
              <c:idx val="1"/>
              <c:layout>
                <c:manualLayout>
                  <c:x val="-7.8519524480343814E-2"/>
                  <c:y val="-2.7958005901288628E-2"/>
                </c:manualLayout>
              </c:layout>
              <c:showPercent val="1"/>
            </c:dLbl>
            <c:dLbl>
              <c:idx val="2"/>
              <c:layout>
                <c:manualLayout>
                  <c:x val="-4.5070941662176311E-4"/>
                  <c:y val="-9.4678774626013373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  <c:firstSliceAng val="0"/>
        <c:holeSize val="72"/>
      </c:doughnutChart>
    </c:plotArea>
    <c:legend>
      <c:legendPos val="r"/>
      <c:legendEntry>
        <c:idx val="0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039571460262465"/>
          <c:y val="0.21409658802955853"/>
          <c:w val="0.30665747788103931"/>
          <c:h val="0.69951543729830912"/>
        </c:manualLayout>
      </c:layout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0.20886</cdr:x>
      <cdr:y>0.23136</cdr:y>
    </cdr:from>
    <cdr:to>
      <cdr:x>0.37055</cdr:x>
      <cdr:y>0.30573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92345" y="764276"/>
          <a:ext cx="923058" cy="24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i="0">
              <a:latin typeface="Arial" pitchFamily="34" charset="0"/>
              <a:cs typeface="Arial" pitchFamily="34" charset="0"/>
            </a:rPr>
            <a:t>Всего 23</a:t>
          </a:r>
        </a:p>
      </cdr:txBody>
    </cdr:sp>
  </cdr:relSizeAnchor>
  <cdr:relSizeAnchor xmlns:cdr="http://schemas.openxmlformats.org/drawingml/2006/chartDrawing">
    <cdr:from>
      <cdr:x>0.58299</cdr:x>
      <cdr:y>0.21697</cdr:y>
    </cdr:from>
    <cdr:to>
      <cdr:x>0.7576</cdr:x>
      <cdr:y>0.28929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28087" y="716698"/>
          <a:ext cx="996778" cy="238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Arial" pitchFamily="34" charset="0"/>
              <a:cs typeface="Arial" pitchFamily="34" charset="0"/>
            </a:rPr>
            <a:t>  </a:t>
          </a:r>
          <a:r>
            <a:rPr lang="ru-RU" sz="1200">
              <a:latin typeface="Arial" pitchFamily="34" charset="0"/>
              <a:cs typeface="Arial" pitchFamily="34" charset="0"/>
            </a:rPr>
            <a:t>Всего 24</a:t>
          </a:r>
        </a:p>
        <a:p xmlns:a="http://schemas.openxmlformats.org/drawingml/2006/main">
          <a:pPr algn="ctr"/>
          <a:endParaRPr lang="ru-RU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0.18907</cdr:x>
      <cdr:y>0.26991</cdr:y>
    </cdr:from>
    <cdr:to>
      <cdr:x>0.34568</cdr:x>
      <cdr:y>0.35368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7721" y="791571"/>
          <a:ext cx="834727" cy="24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Arial" pitchFamily="34" charset="0"/>
              <a:cs typeface="Arial" pitchFamily="34" charset="0"/>
            </a:rPr>
            <a:t>Всего 23</a:t>
          </a:r>
        </a:p>
      </cdr:txBody>
    </cdr:sp>
  </cdr:relSizeAnchor>
  <cdr:relSizeAnchor xmlns:cdr="http://schemas.openxmlformats.org/drawingml/2006/chartDrawing">
    <cdr:from>
      <cdr:x>0.53417</cdr:x>
      <cdr:y>0.25199</cdr:y>
    </cdr:from>
    <cdr:to>
      <cdr:x>0.69242</cdr:x>
      <cdr:y>0.33711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46897" y="738944"/>
          <a:ext cx="843402" cy="249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>
              <a:latin typeface="Arial" pitchFamily="34" charset="0"/>
              <a:cs typeface="Arial" pitchFamily="34" charset="0"/>
            </a:rPr>
            <a:t>Всего 29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9C4E-8211-4387-8BF8-B6036EB5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p54_StepanovaON</cp:lastModifiedBy>
  <cp:revision>6</cp:revision>
  <cp:lastPrinted>2022-04-08T03:47:00Z</cp:lastPrinted>
  <dcterms:created xsi:type="dcterms:W3CDTF">2022-07-04T09:59:00Z</dcterms:created>
  <dcterms:modified xsi:type="dcterms:W3CDTF">2022-07-06T02:57:00Z</dcterms:modified>
</cp:coreProperties>
</file>